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Default="00BD47D0" w:rsidP="007653C2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b/>
          <w:bCs/>
          <w:color w:val="E40044"/>
          <w:sz w:val="24"/>
          <w:szCs w:val="24"/>
          <w:lang w:eastAsia="pl-PL"/>
        </w:rPr>
        <w:t>TEST – MÓJ STYL UCZENIA SIĘ</w:t>
      </w:r>
      <w:r w:rsidR="007653C2"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  <w:t xml:space="preserve"> </w:t>
      </w:r>
    </w:p>
    <w:p w:rsidR="00BD47D0" w:rsidRPr="007653C2" w:rsidRDefault="00BD47D0" w:rsidP="007653C2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Każdy z nas ma swoje ulubione sposoby uczenia się, z których lubi korzystać i inne, które lubi mniej. Poniżej znajduje się lista różnych zajęć</w:t>
      </w:r>
      <w:r w:rsidR="000A5BDE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 xml:space="preserve"> 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i czynności. Przeczytaj listę, oceń, na ile każdy element pasuje do Ciebie, na ile się z nim zgadzasz.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3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</w:t>
      </w: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punkty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jeśli zdanie dotyczy Ciebie w dużym stopniu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2 punkty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jeśli zdanie dotyczy Ciebie w średnim stopniu lub czasami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1 punkt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– jeśli sądzisz, że nie dotyczy Ciebie.</w:t>
      </w:r>
    </w:p>
    <w:tbl>
      <w:tblPr>
        <w:tblW w:w="80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6599"/>
        <w:gridCol w:w="1401"/>
      </w:tblGrid>
      <w:tr w:rsidR="00BD47D0" w:rsidRPr="007653C2" w:rsidTr="00BD47D0">
        <w:trPr>
          <w:trHeight w:val="233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sz w:val="28"/>
                <w:lang w:eastAsia="pl-PL"/>
              </w:rPr>
              <w:t>STYL WZROKOWY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sz w:val="28"/>
                <w:lang w:eastAsia="pl-PL"/>
              </w:rPr>
              <w:t>PUNKTY</w:t>
            </w:r>
          </w:p>
        </w:tc>
      </w:tr>
      <w:tr w:rsidR="00BD47D0" w:rsidRPr="007653C2" w:rsidTr="00BD47D0">
        <w:trPr>
          <w:trHeight w:val="4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Moje notatki pełne są kolorów, podkreśleń i symboli.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1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czasie lekcji łatwiej zapamiętuję, kiedy robię własne notatki.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25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Wolę posłużyć się mapą, niż słuchać wskazówek jak gdzieś trafić.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Ładnie piszę, inni chętnie pożyczają moje zeszyty, bo są czytelne i przejrzyste.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36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Ucząc się pamiętam, gdzie, co i jak jest napisane. Prawie „czytam z kartki”.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21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Łatwiej zapamiętuję materiał patrząc na tabele, wykresy i schematy.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18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Lubię się uczyć przez patrzenie i obserwację pokazów.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35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Moją najmocniejszą stroną w uczeniu jest czytanie.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49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Malarstwo, rzeźba i grafika przemawiają do mnie bardziej niż inne sztuki.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20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Lubię mieć porządek wokół siebie. Dekoncentruje mnie bałagan i ruch.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0"/>
        </w:trPr>
        <w:tc>
          <w:tcPr>
            <w:tcW w:w="651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BD47D0" w:rsidRPr="007653C2" w:rsidRDefault="00BD47D0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0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6550"/>
        <w:gridCol w:w="1450"/>
      </w:tblGrid>
      <w:tr w:rsidR="00BD47D0" w:rsidRPr="007653C2" w:rsidTr="00BD47D0">
        <w:trPr>
          <w:trHeight w:val="33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pl-PL"/>
              </w:rPr>
              <w:lastRenderedPageBreak/>
              <w:t>STYL SŁUCHOWY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pl-PL"/>
              </w:rPr>
              <w:t>PUNKTY</w:t>
            </w:r>
          </w:p>
        </w:tc>
      </w:tr>
      <w:tr w:rsidR="00BD47D0" w:rsidRPr="007653C2" w:rsidTr="00BD47D0">
        <w:trPr>
          <w:trHeight w:val="12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12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Lubię rozmawiać, dyskutować albo wygłaszać monologi.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120" w:lineRule="atLeas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25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Kiedy się uczę, pomaga mi „głośne myślenie” i robię powtórki na głos.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18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Dobrze czytam, ale nie lubię długich opisów. Czasem nie zauważam ilustracji.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9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9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Hałas mnie dekoncentruje. Nie lubię, gdy ktoś rozmawia obok, gdy się uczę.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90" w:lineRule="atLeas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14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Muzyka jest moim ulubionym rodzajem sztuki.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17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Kiedy czytam, mylę wyrazy, które pisze się podobnie.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6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6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Piszę tak jak słyszę, często mam kłopoty z ortografią.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60" w:lineRule="atLeas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43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Jestem lepszy w mówieniu niż pisaniu. Czasem nawet mówię, gdy piszę.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4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4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Najchętniej uczę się podczas wykładu lub gdy czytam na głos.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40" w:lineRule="atLeas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5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Lepiej zapamiętuję, kiedy słyszę, niż kiedy widzę.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50" w:lineRule="atLeas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180"/>
        </w:trPr>
        <w:tc>
          <w:tcPr>
            <w:tcW w:w="624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</w:tbl>
    <w:p w:rsidR="00BD47D0" w:rsidRDefault="00BD47D0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0D2" w:rsidRDefault="00A250D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3C2" w:rsidRPr="007653C2" w:rsidRDefault="007653C2" w:rsidP="00BD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0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6589"/>
        <w:gridCol w:w="1411"/>
      </w:tblGrid>
      <w:tr w:rsidR="00BD47D0" w:rsidRPr="007653C2" w:rsidTr="00BD47D0">
        <w:trPr>
          <w:trHeight w:val="56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pl-PL"/>
              </w:rPr>
              <w:lastRenderedPageBreak/>
              <w:t>STYL RUCHOWY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pl-PL"/>
              </w:rPr>
              <w:t>PUNKTY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Lubię prace manualne i  tworzenie przedmiotów.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Najlepiej uczę się poprzez wykonywanie różnych czynności.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7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W czasie lekcji często się wiercę, zmieniam pozycję, zwykle coś trzymam w rękach np. długopis.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39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Zwykle nie czytam instrukcji obsługi, wolę sam(a) sprawdzić jak coś działa.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73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Najlepiej uczę się, gdy mam coś udowodnić, pokazać jak coś działa i wyjaśnić, dlaczego się tak dzieje.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Najbardziej lubię aktywność fizyczną, zajęcia w terenie i wycieczki.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Nie przepadam za udzielaniem innym instrukcji, wolę pokazać.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Będąc w nieznanym miejscu nie gubię się, zawsze trafię na wyczucie.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Bardzo angażuję się, kiedy wykonuję zadanie.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7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Lepiej myślę i działam, kiedy mogę się poruszać, np. kiwać nogą,</w:t>
            </w: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br/>
              <w:t>przechadzając się.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Często gestykuluję, aby coś pokazać.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  <w:tr w:rsidR="00BD47D0" w:rsidRPr="007653C2" w:rsidTr="00BD47D0">
        <w:trPr>
          <w:trHeight w:val="520"/>
        </w:trPr>
        <w:tc>
          <w:tcPr>
            <w:tcW w:w="6458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single" w:sz="4" w:space="0" w:color="E5E5E5"/>
              <w:right w:val="outset" w:sz="6" w:space="0" w:color="auto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  <w:hideMark/>
          </w:tcPr>
          <w:p w:rsidR="00BD47D0" w:rsidRPr="007653C2" w:rsidRDefault="00BD47D0" w:rsidP="00BD47D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pl-PL"/>
              </w:rPr>
            </w:pPr>
            <w:r w:rsidRPr="007653C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pl-PL"/>
              </w:rPr>
              <w:t> </w:t>
            </w:r>
          </w:p>
        </w:tc>
      </w:tr>
    </w:tbl>
    <w:p w:rsidR="00BD47D0" w:rsidRPr="007653C2" w:rsidRDefault="00BD47D0" w:rsidP="00BD47D0">
      <w:pPr>
        <w:shd w:val="clear" w:color="auto" w:fill="FFFFFF"/>
        <w:spacing w:before="120" w:after="360" w:line="240" w:lineRule="auto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  <w:t> 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Sprawdź, w której części zdobyłeś /</w:t>
      </w:r>
      <w:proofErr w:type="spellStart"/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(a</w:t>
      </w:r>
      <w:proofErr w:type="spellEnd"/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ś) największą liczbę punktów. Podsumuj wyniki: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br/>
        <w:t>W 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–……………  </w:t>
      </w: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 S 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–……………  </w:t>
      </w: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 R 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–……………</w:t>
      </w:r>
    </w:p>
    <w:p w:rsidR="007653C2" w:rsidRDefault="007653C2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lastRenderedPageBreak/>
        <w:br/>
        <w:t>Jeśli masz najwięcej punktów </w:t>
      </w: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W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 Twój styl uczenia się to PATRZENIE – Jesteś WZROKOWCEM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Jeśli zebrałeś najwięcej punktów</w:t>
      </w: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 S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 Twój styl uczenia się to SŁUCHANIE – Jesteś SŁUCHOWCEM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Jeśli masz najwięcej punktów </w:t>
      </w:r>
      <w:r w:rsidRPr="007653C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pl-PL"/>
        </w:rPr>
        <w:t>R</w:t>
      </w:r>
      <w:r w:rsidRPr="007653C2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, Twój styl uczenia się to DZIAŁANIE – Jesteś KINESTYKIEM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  <w:t> </w:t>
      </w:r>
    </w:p>
    <w:p w:rsidR="00BD47D0" w:rsidRPr="007653C2" w:rsidRDefault="00BD47D0" w:rsidP="00BD47D0">
      <w:pPr>
        <w:shd w:val="clear" w:color="auto" w:fill="FFFFFF"/>
        <w:spacing w:before="120" w:after="360" w:line="240" w:lineRule="auto"/>
        <w:jc w:val="both"/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</w:pPr>
      <w:r w:rsidRPr="007653C2">
        <w:rPr>
          <w:rFonts w:ascii="Times New Roman" w:eastAsia="Times New Roman" w:hAnsi="Times New Roman" w:cs="Times New Roman"/>
          <w:color w:val="555555"/>
          <w:sz w:val="14"/>
          <w:szCs w:val="14"/>
          <w:lang w:eastAsia="pl-PL"/>
        </w:rPr>
        <w:t> </w:t>
      </w:r>
    </w:p>
    <w:p w:rsidR="00887B8A" w:rsidRPr="007653C2" w:rsidRDefault="00887B8A">
      <w:pPr>
        <w:rPr>
          <w:rFonts w:ascii="Times New Roman" w:hAnsi="Times New Roman" w:cs="Times New Roman"/>
        </w:rPr>
      </w:pPr>
    </w:p>
    <w:sectPr w:rsidR="00887B8A" w:rsidRPr="007653C2" w:rsidSect="0088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47D0"/>
    <w:rsid w:val="000A5BDE"/>
    <w:rsid w:val="001835F0"/>
    <w:rsid w:val="007653C2"/>
    <w:rsid w:val="00887B8A"/>
    <w:rsid w:val="00A250D2"/>
    <w:rsid w:val="00BD47D0"/>
    <w:rsid w:val="00D268FA"/>
    <w:rsid w:val="00EA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47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2020-03-20T11:52:00Z</dcterms:created>
  <dcterms:modified xsi:type="dcterms:W3CDTF">2020-03-23T16:17:00Z</dcterms:modified>
</cp:coreProperties>
</file>